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CellMar>
          <w:left w:w="0" w:type="dxa"/>
          <w:right w:w="0" w:type="dxa"/>
        </w:tblCellMar>
        <w:tblLook w:val="04A0" w:firstRow="1" w:lastRow="0" w:firstColumn="1" w:lastColumn="0" w:noHBand="0" w:noVBand="1"/>
      </w:tblPr>
      <w:tblGrid>
        <w:gridCol w:w="11065"/>
      </w:tblGrid>
      <w:tr w:rsidR="00BB6BDA" w:rsidRPr="00BB6BDA" w:rsidTr="00BB6BDA">
        <w:tc>
          <w:tcPr>
            <w:tcW w:w="10632" w:type="dxa"/>
            <w:hideMark/>
          </w:tcPr>
          <w:p w:rsidR="00BB6BDA" w:rsidRPr="00402F4F" w:rsidRDefault="00BB6BDA" w:rsidP="00E40675">
            <w:pPr>
              <w:spacing w:before="120" w:after="120" w:line="578" w:lineRule="atLeast"/>
              <w:jc w:val="center"/>
              <w:outlineLvl w:val="0"/>
              <w:rPr>
                <w:rFonts w:ascii="Comic Sans MS" w:eastAsia="Times New Roman" w:hAnsi="Comic Sans MS" w:cs="Times New Roman"/>
                <w:b/>
                <w:color w:val="2F5496" w:themeColor="accent5" w:themeShade="BF"/>
                <w:kern w:val="36"/>
                <w:sz w:val="28"/>
                <w:szCs w:val="28"/>
                <w:lang w:eastAsia="uk-UA"/>
              </w:rPr>
            </w:pPr>
            <w:r w:rsidRPr="00402F4F">
              <w:rPr>
                <w:rFonts w:ascii="Comic Sans MS" w:eastAsia="Times New Roman" w:hAnsi="Comic Sans MS" w:cs="Times New Roman"/>
                <w:b/>
                <w:color w:val="2F5496" w:themeColor="accent5" w:themeShade="BF"/>
                <w:kern w:val="36"/>
                <w:sz w:val="28"/>
                <w:szCs w:val="28"/>
                <w:lang w:eastAsia="uk-UA"/>
              </w:rPr>
              <w:t>Пільгові категорії при зарахуванні у дошкільні навчальні заклади Києва</w:t>
            </w:r>
          </w:p>
          <w:p w:rsidR="00BB6BDA" w:rsidRPr="00BB6BDA" w:rsidRDefault="00402F4F" w:rsidP="00E40675">
            <w:pPr>
              <w:spacing w:before="120" w:after="120" w:line="264" w:lineRule="atLeast"/>
              <w:jc w:val="center"/>
              <w:outlineLvl w:val="5"/>
              <w:rPr>
                <w:rFonts w:ascii="Comic Sans MS" w:eastAsia="Times New Roman" w:hAnsi="Comic Sans MS" w:cs="Times New Roman"/>
                <w:b/>
                <w:bCs/>
                <w:color w:val="1E9CDB"/>
                <w:sz w:val="24"/>
                <w:szCs w:val="24"/>
                <w:lang w:eastAsia="uk-UA"/>
              </w:rPr>
            </w:pPr>
            <w:hyperlink r:id="rId4" w:history="1">
              <w:r w:rsidR="00E40675">
                <w:rPr>
                  <w:rStyle w:val="a3"/>
                </w:rPr>
                <w:t>https://don.kyivcity.gov.ua/content/pilgovi-kategorii-pry-zarahuvanni.html</w:t>
              </w:r>
            </w:hyperlink>
          </w:p>
          <w:tbl>
            <w:tblPr>
              <w:tblpPr w:leftFromText="45" w:rightFromText="45" w:vertAnchor="text" w:tblpX="-575"/>
              <w:tblOverlap w:val="never"/>
              <w:tblW w:w="11049" w:type="dxa"/>
              <w:tblCellSpacing w:w="0" w:type="dxa"/>
              <w:tblBorders>
                <w:top w:val="single" w:sz="6" w:space="0" w:color="DCE5F0"/>
                <w:left w:val="single" w:sz="6" w:space="0" w:color="DCE5F0"/>
                <w:bottom w:val="single" w:sz="6" w:space="0" w:color="DCE5F0"/>
                <w:right w:val="single" w:sz="6" w:space="0" w:color="DCE5F0"/>
              </w:tblBorders>
              <w:tblCellMar>
                <w:top w:w="15" w:type="dxa"/>
                <w:left w:w="15" w:type="dxa"/>
                <w:bottom w:w="15" w:type="dxa"/>
                <w:right w:w="15" w:type="dxa"/>
              </w:tblCellMar>
              <w:tblLook w:val="04A0" w:firstRow="1" w:lastRow="0" w:firstColumn="1" w:lastColumn="0" w:noHBand="0" w:noVBand="1"/>
            </w:tblPr>
            <w:tblGrid>
              <w:gridCol w:w="3088"/>
              <w:gridCol w:w="2466"/>
              <w:gridCol w:w="5495"/>
            </w:tblGrid>
            <w:tr w:rsidR="00BB6BDA" w:rsidRPr="00BB6BDA" w:rsidTr="00BB6BDA">
              <w:trPr>
                <w:tblCellSpacing w:w="0" w:type="dxa"/>
              </w:trPr>
              <w:tc>
                <w:tcPr>
                  <w:tcW w:w="3088"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w:t>
                  </w: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after="0" w:line="240" w:lineRule="atLeast"/>
                    <w:jc w:val="center"/>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Документ</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after="0" w:line="240" w:lineRule="atLeast"/>
                    <w:jc w:val="center"/>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Статті, пункти та редакція</w:t>
                  </w:r>
                </w:p>
              </w:tc>
            </w:tr>
            <w:tr w:rsidR="00BB6BDA" w:rsidRPr="00BB6BDA" w:rsidTr="00BB6BDA">
              <w:trPr>
                <w:tblCellSpacing w:w="0" w:type="dxa"/>
              </w:trPr>
              <w:tc>
                <w:tcPr>
                  <w:tcW w:w="3088" w:type="dxa"/>
                  <w:vMerge w:val="restart"/>
                  <w:tcBorders>
                    <w:top w:val="outset" w:sz="6" w:space="0" w:color="auto"/>
                    <w:left w:val="outset" w:sz="6" w:space="0" w:color="auto"/>
                    <w:bottom w:val="outset" w:sz="6" w:space="0" w:color="auto"/>
                    <w:right w:val="outset" w:sz="6" w:space="0" w:color="auto"/>
                  </w:tcBorders>
                  <w:hideMark/>
                </w:tcPr>
                <w:p w:rsidR="00BB6BDA" w:rsidRPr="00402F4F" w:rsidRDefault="00BB6BDA" w:rsidP="00BB6BDA">
                  <w:pPr>
                    <w:spacing w:before="120" w:after="120" w:line="314" w:lineRule="atLeast"/>
                    <w:outlineLvl w:val="4"/>
                    <w:rPr>
                      <w:rFonts w:ascii="Comic Sans MS" w:eastAsia="Times New Roman" w:hAnsi="Comic Sans MS" w:cs="Times New Roman"/>
                      <w:b/>
                      <w:bCs/>
                      <w:color w:val="2F5496" w:themeColor="accent5" w:themeShade="BF"/>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t>Діти громадян, які постраждали внаслідок Чорнобильської катастрофи (1, 2, 3 категорій).</w:t>
                  </w:r>
                </w:p>
                <w:p w:rsidR="00BB6BDA" w:rsidRPr="00402F4F" w:rsidRDefault="00BB6BDA" w:rsidP="00BB6BDA">
                  <w:pPr>
                    <w:spacing w:before="120" w:after="120" w:line="314" w:lineRule="atLeast"/>
                    <w:outlineLvl w:val="4"/>
                    <w:rPr>
                      <w:rFonts w:ascii="Comic Sans MS" w:eastAsia="Times New Roman" w:hAnsi="Comic Sans MS" w:cs="Times New Roman"/>
                      <w:b/>
                      <w:bCs/>
                      <w:color w:val="2F5496" w:themeColor="accent5" w:themeShade="BF"/>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t>Діти, яким встановлено інвалідність, пов'язану з Чорнобильською катастрофою   </w:t>
                  </w:r>
                </w:p>
              </w:tc>
              <w:tc>
                <w:tcPr>
                  <w:tcW w:w="2466" w:type="dxa"/>
                  <w:vMerge w:val="restart"/>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b/>
                      <w:bCs/>
                      <w:color w:val="303030"/>
                      <w:sz w:val="24"/>
                      <w:szCs w:val="24"/>
                      <w:lang w:eastAsia="uk-UA"/>
                    </w:rPr>
                    <w:t>Закон України "Про статус і соціальний захист громадян, які постраждали внаслідок Чорнобильської катастрофи" </w:t>
                  </w:r>
                  <w:r w:rsidRPr="00BB6BDA">
                    <w:rPr>
                      <w:rFonts w:ascii="Comic Sans MS" w:eastAsia="Times New Roman" w:hAnsi="Comic Sans MS" w:cs="Times New Roman"/>
                      <w:color w:val="303030"/>
                      <w:sz w:val="24"/>
                      <w:szCs w:val="24"/>
                      <w:lang w:eastAsia="uk-UA"/>
                    </w:rPr>
                    <w:t> </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Стаття 20. Компенсації та пільги громадянам, віднесеним до категорії 1</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xml:space="preserve">17) </w:t>
                  </w:r>
                  <w:r w:rsidRPr="00BB6BDA">
                    <w:rPr>
                      <w:rFonts w:ascii="Comic Sans MS" w:eastAsia="Times New Roman" w:hAnsi="Comic Sans MS" w:cs="Times New Roman"/>
                      <w:b/>
                      <w:color w:val="303030"/>
                      <w:sz w:val="24"/>
                      <w:szCs w:val="24"/>
                      <w:lang w:eastAsia="uk-UA"/>
                    </w:rPr>
                    <w:t>Позачергове обов'язкове забезпечення їх дітей місцями у дошкільних закладах</w:t>
                  </w:r>
                  <w:r w:rsidRPr="00BB6BDA">
                    <w:rPr>
                      <w:rFonts w:ascii="Comic Sans MS" w:eastAsia="Times New Roman" w:hAnsi="Comic Sans MS" w:cs="Times New Roman"/>
                      <w:color w:val="303030"/>
                      <w:sz w:val="24"/>
                      <w:szCs w:val="24"/>
                      <w:lang w:eastAsia="uk-UA"/>
                    </w:rPr>
                    <w:t xml:space="preserve"> незалежно від відомчої підпорядкованості.</w:t>
                  </w:r>
                </w:p>
              </w:tc>
            </w:tr>
            <w:tr w:rsidR="00BB6BDA" w:rsidRPr="00BB6BDA" w:rsidTr="00BB6BDA">
              <w:trPr>
                <w:tblCellSpacing w:w="0" w:type="dxa"/>
              </w:trPr>
              <w:tc>
                <w:tcPr>
                  <w:tcW w:w="3088" w:type="dxa"/>
                  <w:vMerge/>
                  <w:tcBorders>
                    <w:top w:val="outset" w:sz="6" w:space="0" w:color="auto"/>
                    <w:left w:val="outset" w:sz="6" w:space="0" w:color="auto"/>
                    <w:bottom w:val="outset" w:sz="6" w:space="0" w:color="auto"/>
                    <w:right w:val="outset" w:sz="6" w:space="0" w:color="auto"/>
                  </w:tcBorders>
                  <w:vAlign w:val="center"/>
                  <w:hideMark/>
                </w:tcPr>
                <w:p w:rsidR="00BB6BDA" w:rsidRPr="00402F4F" w:rsidRDefault="00BB6BDA" w:rsidP="00BB6BDA">
                  <w:pPr>
                    <w:spacing w:after="0" w:line="240" w:lineRule="auto"/>
                    <w:rPr>
                      <w:rFonts w:ascii="Comic Sans MS" w:eastAsia="Times New Roman" w:hAnsi="Comic Sans MS" w:cs="Times New Roman"/>
                      <w:b/>
                      <w:bCs/>
                      <w:color w:val="2F5496" w:themeColor="accent5" w:themeShade="BF"/>
                      <w:sz w:val="24"/>
                      <w:szCs w:val="24"/>
                      <w:lang w:eastAsia="uk-UA"/>
                    </w:rPr>
                  </w:pPr>
                </w:p>
              </w:tc>
              <w:tc>
                <w:tcPr>
                  <w:tcW w:w="2466" w:type="dxa"/>
                  <w:vMerge/>
                  <w:tcBorders>
                    <w:top w:val="outset" w:sz="6" w:space="0" w:color="auto"/>
                    <w:left w:val="outset" w:sz="6" w:space="0" w:color="auto"/>
                    <w:bottom w:val="outset" w:sz="6" w:space="0" w:color="auto"/>
                    <w:right w:val="outset" w:sz="6" w:space="0" w:color="auto"/>
                  </w:tcBorders>
                  <w:vAlign w:val="center"/>
                  <w:hideMark/>
                </w:tcPr>
                <w:p w:rsidR="00BB6BDA" w:rsidRPr="00BB6BDA" w:rsidRDefault="00BB6BDA" w:rsidP="00BB6BDA">
                  <w:pPr>
                    <w:spacing w:after="0" w:line="240" w:lineRule="auto"/>
                    <w:rPr>
                      <w:rFonts w:ascii="Comic Sans MS" w:eastAsia="Times New Roman" w:hAnsi="Comic Sans MS" w:cs="Times New Roman"/>
                      <w:color w:val="303030"/>
                      <w:sz w:val="24"/>
                      <w:szCs w:val="24"/>
                      <w:lang w:eastAsia="uk-UA"/>
                    </w:rPr>
                  </w:pP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Стаття 21. Компенсації та пільги громадянам, віднесеним до категорії 2</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1) Пільги, передбачені п.17 статті 20.</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9) Пільги, передбачені п. 17 статті 20, поширюються на неповнолітніх дітей померлих громадян, віднесених до категорії 2, смерть яких пов'язана з Чорнобильською катастрофою.</w:t>
                  </w:r>
                </w:p>
              </w:tc>
            </w:tr>
            <w:tr w:rsidR="00BB6BDA" w:rsidRPr="00BB6BDA" w:rsidTr="00BB6BDA">
              <w:trPr>
                <w:tblCellSpacing w:w="0" w:type="dxa"/>
              </w:trPr>
              <w:tc>
                <w:tcPr>
                  <w:tcW w:w="3088" w:type="dxa"/>
                  <w:vMerge/>
                  <w:tcBorders>
                    <w:top w:val="outset" w:sz="6" w:space="0" w:color="auto"/>
                    <w:left w:val="outset" w:sz="6" w:space="0" w:color="auto"/>
                    <w:bottom w:val="outset" w:sz="6" w:space="0" w:color="auto"/>
                    <w:right w:val="outset" w:sz="6" w:space="0" w:color="auto"/>
                  </w:tcBorders>
                  <w:vAlign w:val="center"/>
                  <w:hideMark/>
                </w:tcPr>
                <w:p w:rsidR="00BB6BDA" w:rsidRPr="00402F4F" w:rsidRDefault="00BB6BDA" w:rsidP="00BB6BDA">
                  <w:pPr>
                    <w:spacing w:after="0" w:line="240" w:lineRule="auto"/>
                    <w:rPr>
                      <w:rFonts w:ascii="Comic Sans MS" w:eastAsia="Times New Roman" w:hAnsi="Comic Sans MS" w:cs="Times New Roman"/>
                      <w:b/>
                      <w:bCs/>
                      <w:color w:val="2F5496" w:themeColor="accent5" w:themeShade="BF"/>
                      <w:sz w:val="24"/>
                      <w:szCs w:val="24"/>
                      <w:lang w:eastAsia="uk-UA"/>
                    </w:rPr>
                  </w:pPr>
                </w:p>
              </w:tc>
              <w:tc>
                <w:tcPr>
                  <w:tcW w:w="2466" w:type="dxa"/>
                  <w:vMerge/>
                  <w:tcBorders>
                    <w:top w:val="outset" w:sz="6" w:space="0" w:color="auto"/>
                    <w:left w:val="outset" w:sz="6" w:space="0" w:color="auto"/>
                    <w:bottom w:val="outset" w:sz="6" w:space="0" w:color="auto"/>
                    <w:right w:val="outset" w:sz="6" w:space="0" w:color="auto"/>
                  </w:tcBorders>
                  <w:vAlign w:val="center"/>
                  <w:hideMark/>
                </w:tcPr>
                <w:p w:rsidR="00BB6BDA" w:rsidRPr="00BB6BDA" w:rsidRDefault="00BB6BDA" w:rsidP="00BB6BDA">
                  <w:pPr>
                    <w:spacing w:after="0" w:line="240" w:lineRule="auto"/>
                    <w:rPr>
                      <w:rFonts w:ascii="Comic Sans MS" w:eastAsia="Times New Roman" w:hAnsi="Comic Sans MS" w:cs="Times New Roman"/>
                      <w:color w:val="303030"/>
                      <w:sz w:val="24"/>
                      <w:szCs w:val="24"/>
                      <w:lang w:eastAsia="uk-UA"/>
                    </w:rPr>
                  </w:pP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Стаття 22. Компенсації та пільги громадянам, віднесеним до категорії 3</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1) Пільги, передбачені п. 17 статті 20 для учасників ліквідації наслідків аварії на Чорнобильській АЕС, які належать до категорії 3. 15) Пільги, передбачені п. 17 статті 20, поширюються на неповнолітніх дітей померлих громадян з числа учасників ліквідації наслідків аварії на Чорнобильській АЕС, віднесених до категорії 3.</w:t>
                  </w:r>
                </w:p>
              </w:tc>
            </w:tr>
            <w:tr w:rsidR="00BB6BDA" w:rsidRPr="00BB6BDA" w:rsidTr="00BB6BDA">
              <w:trPr>
                <w:tblCellSpacing w:w="0" w:type="dxa"/>
              </w:trPr>
              <w:tc>
                <w:tcPr>
                  <w:tcW w:w="3088" w:type="dxa"/>
                  <w:vMerge/>
                  <w:tcBorders>
                    <w:top w:val="outset" w:sz="6" w:space="0" w:color="auto"/>
                    <w:left w:val="outset" w:sz="6" w:space="0" w:color="auto"/>
                    <w:bottom w:val="outset" w:sz="6" w:space="0" w:color="auto"/>
                    <w:right w:val="outset" w:sz="6" w:space="0" w:color="auto"/>
                  </w:tcBorders>
                  <w:vAlign w:val="center"/>
                  <w:hideMark/>
                </w:tcPr>
                <w:p w:rsidR="00BB6BDA" w:rsidRPr="00402F4F" w:rsidRDefault="00BB6BDA" w:rsidP="00BB6BDA">
                  <w:pPr>
                    <w:spacing w:after="0" w:line="240" w:lineRule="auto"/>
                    <w:rPr>
                      <w:rFonts w:ascii="Comic Sans MS" w:eastAsia="Times New Roman" w:hAnsi="Comic Sans MS" w:cs="Times New Roman"/>
                      <w:b/>
                      <w:bCs/>
                      <w:color w:val="2F5496" w:themeColor="accent5" w:themeShade="BF"/>
                      <w:sz w:val="24"/>
                      <w:szCs w:val="24"/>
                      <w:lang w:eastAsia="uk-UA"/>
                    </w:rPr>
                  </w:pPr>
                </w:p>
              </w:tc>
              <w:tc>
                <w:tcPr>
                  <w:tcW w:w="2466" w:type="dxa"/>
                  <w:vMerge/>
                  <w:tcBorders>
                    <w:top w:val="outset" w:sz="6" w:space="0" w:color="auto"/>
                    <w:left w:val="outset" w:sz="6" w:space="0" w:color="auto"/>
                    <w:bottom w:val="outset" w:sz="6" w:space="0" w:color="auto"/>
                    <w:right w:val="outset" w:sz="6" w:space="0" w:color="auto"/>
                  </w:tcBorders>
                  <w:vAlign w:val="center"/>
                  <w:hideMark/>
                </w:tcPr>
                <w:p w:rsidR="00BB6BDA" w:rsidRPr="00BB6BDA" w:rsidRDefault="00BB6BDA" w:rsidP="00BB6BDA">
                  <w:pPr>
                    <w:spacing w:after="0" w:line="240" w:lineRule="auto"/>
                    <w:rPr>
                      <w:rFonts w:ascii="Comic Sans MS" w:eastAsia="Times New Roman" w:hAnsi="Comic Sans MS" w:cs="Times New Roman"/>
                      <w:color w:val="303030"/>
                      <w:sz w:val="24"/>
                      <w:szCs w:val="24"/>
                      <w:lang w:eastAsia="uk-UA"/>
                    </w:rPr>
                  </w:pP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Стаття 30. Пільги та компенсації потерпілим дітям та їх батькам</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13) Дітям, зазначеним у статті 27 цього Закону, яким встановлено інвалідність, пов'язану з Чорнобильською катастрофою, надаються такі компенсації та пільги: … 2) позачергове обов'язкове забезпечення місцями у дошкільних закладах освіти незалежно від відомчої підпорядкованості.</w:t>
                  </w:r>
                </w:p>
              </w:tc>
            </w:tr>
            <w:tr w:rsidR="00BB6BDA" w:rsidRPr="00BB6BDA" w:rsidTr="00BB6BDA">
              <w:trPr>
                <w:tblCellSpacing w:w="0" w:type="dxa"/>
              </w:trPr>
              <w:tc>
                <w:tcPr>
                  <w:tcW w:w="3088" w:type="dxa"/>
                  <w:tcBorders>
                    <w:top w:val="outset" w:sz="6" w:space="0" w:color="auto"/>
                    <w:left w:val="outset" w:sz="6" w:space="0" w:color="auto"/>
                    <w:bottom w:val="outset" w:sz="6" w:space="0" w:color="auto"/>
                    <w:right w:val="outset" w:sz="6" w:space="0" w:color="auto"/>
                  </w:tcBorders>
                  <w:hideMark/>
                </w:tcPr>
                <w:p w:rsidR="00BB6BDA" w:rsidRPr="00402F4F" w:rsidRDefault="00BB6BDA" w:rsidP="00BB6BDA">
                  <w:pPr>
                    <w:spacing w:before="120" w:after="120" w:line="314" w:lineRule="atLeast"/>
                    <w:outlineLvl w:val="4"/>
                    <w:rPr>
                      <w:rFonts w:ascii="Comic Sans MS" w:eastAsia="Times New Roman" w:hAnsi="Comic Sans MS" w:cs="Times New Roman"/>
                      <w:b/>
                      <w:bCs/>
                      <w:color w:val="2F5496" w:themeColor="accent5" w:themeShade="BF"/>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lastRenderedPageBreak/>
                    <w:t>Діти військовослужбовців Національної гвардії України</w:t>
                  </w: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b/>
                      <w:bCs/>
                      <w:color w:val="303030"/>
                      <w:sz w:val="24"/>
                      <w:szCs w:val="24"/>
                      <w:lang w:eastAsia="uk-UA"/>
                    </w:rPr>
                    <w:t>Закон України "Про Національну гвардію України"</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від 13 березня 2014 року № 876-VII</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Стаття 21.  п.2. Військовослужбовці Національної гвардії України користуються правовими і соціальними гарантіями відповідно до </w:t>
                  </w:r>
                  <w:hyperlink r:id="rId5" w:tgtFrame="_blank" w:history="1">
                    <w:r w:rsidRPr="00BB6BDA">
                      <w:rPr>
                        <w:rFonts w:ascii="Comic Sans MS" w:eastAsia="Times New Roman" w:hAnsi="Comic Sans MS" w:cs="Times New Roman"/>
                        <w:color w:val="1E9CDB"/>
                        <w:sz w:val="24"/>
                        <w:szCs w:val="24"/>
                        <w:u w:val="single"/>
                        <w:lang w:eastAsia="uk-UA"/>
                      </w:rPr>
                      <w:t>Закону України "Про соціальний і правовий захист військовослужбовців та членів їх сімей"</w:t>
                    </w:r>
                  </w:hyperlink>
                  <w:r w:rsidRPr="00BB6BDA">
                    <w:rPr>
                      <w:rFonts w:ascii="Comic Sans MS" w:eastAsia="Times New Roman" w:hAnsi="Comic Sans MS" w:cs="Times New Roman"/>
                      <w:color w:val="303030"/>
                      <w:sz w:val="24"/>
                      <w:szCs w:val="24"/>
                      <w:lang w:eastAsia="uk-UA"/>
                    </w:rPr>
                    <w:t>, цього Закону, інших актів законодавства.</w:t>
                  </w:r>
                </w:p>
              </w:tc>
            </w:tr>
            <w:tr w:rsidR="00BB6BDA" w:rsidRPr="00BB6BDA" w:rsidTr="00BB6BDA">
              <w:trPr>
                <w:tblCellSpacing w:w="0" w:type="dxa"/>
              </w:trPr>
              <w:tc>
                <w:tcPr>
                  <w:tcW w:w="3088" w:type="dxa"/>
                  <w:vMerge w:val="restart"/>
                  <w:tcBorders>
                    <w:top w:val="outset" w:sz="6" w:space="0" w:color="auto"/>
                    <w:left w:val="outset" w:sz="6" w:space="0" w:color="auto"/>
                    <w:bottom w:val="outset" w:sz="6" w:space="0" w:color="auto"/>
                    <w:right w:val="outset" w:sz="6" w:space="0" w:color="auto"/>
                  </w:tcBorders>
                  <w:hideMark/>
                </w:tcPr>
                <w:p w:rsidR="00BB6BDA" w:rsidRPr="00402F4F" w:rsidRDefault="00BB6BDA" w:rsidP="00BB6BDA">
                  <w:pPr>
                    <w:spacing w:before="120" w:after="120" w:line="314" w:lineRule="atLeast"/>
                    <w:outlineLvl w:val="4"/>
                    <w:rPr>
                      <w:rFonts w:ascii="Comic Sans MS" w:eastAsia="Times New Roman" w:hAnsi="Comic Sans MS" w:cs="Times New Roman"/>
                      <w:b/>
                      <w:bCs/>
                      <w:color w:val="2F5496" w:themeColor="accent5" w:themeShade="BF"/>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t>Діти військовослужбовців</w:t>
                  </w:r>
                </w:p>
                <w:p w:rsidR="00BB6BDA" w:rsidRPr="00402F4F" w:rsidRDefault="00BB6BDA" w:rsidP="00BB6BDA">
                  <w:pPr>
                    <w:spacing w:after="0" w:line="240" w:lineRule="atLeast"/>
                    <w:rPr>
                      <w:rFonts w:ascii="Comic Sans MS" w:eastAsia="Times New Roman" w:hAnsi="Comic Sans MS" w:cs="Times New Roman"/>
                      <w:color w:val="2F5496" w:themeColor="accent5" w:themeShade="BF"/>
                      <w:sz w:val="24"/>
                      <w:szCs w:val="24"/>
                      <w:lang w:eastAsia="uk-UA"/>
                    </w:rPr>
                  </w:pPr>
                  <w:r w:rsidRPr="00402F4F">
                    <w:rPr>
                      <w:rFonts w:ascii="Comic Sans MS" w:eastAsia="Times New Roman" w:hAnsi="Comic Sans MS" w:cs="Times New Roman"/>
                      <w:color w:val="2F5496" w:themeColor="accent5" w:themeShade="BF"/>
                      <w:sz w:val="24"/>
                      <w:szCs w:val="24"/>
                      <w:lang w:eastAsia="uk-UA"/>
                    </w:rPr>
                    <w:t>  </w:t>
                  </w: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b/>
                      <w:bCs/>
                      <w:color w:val="303030"/>
                      <w:sz w:val="24"/>
                      <w:szCs w:val="24"/>
                      <w:lang w:eastAsia="uk-UA"/>
                    </w:rPr>
                    <w:t>Закон України "Про соціальний і правовий захист військовослужбовців та членів їх сімей"</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Стаття 13. Право військовослужбовців та членів їх сімей на освіту</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xml:space="preserve">4. </w:t>
                  </w:r>
                  <w:r w:rsidRPr="00BB6BDA">
                    <w:rPr>
                      <w:rFonts w:ascii="Comic Sans MS" w:eastAsia="Times New Roman" w:hAnsi="Comic Sans MS" w:cs="Times New Roman"/>
                      <w:b/>
                      <w:color w:val="303030"/>
                      <w:sz w:val="24"/>
                      <w:szCs w:val="24"/>
                      <w:lang w:eastAsia="uk-UA"/>
                    </w:rPr>
                    <w:t>Дітям військовослужбовців за місцем проживання їх сімей у першочерговому порядку</w:t>
                  </w:r>
                  <w:r w:rsidRPr="00BB6BDA">
                    <w:rPr>
                      <w:rFonts w:ascii="Comic Sans MS" w:eastAsia="Times New Roman" w:hAnsi="Comic Sans MS" w:cs="Times New Roman"/>
                      <w:color w:val="303030"/>
                      <w:sz w:val="24"/>
                      <w:szCs w:val="24"/>
                      <w:lang w:eastAsia="uk-UA"/>
                    </w:rPr>
                    <w:t xml:space="preserve"> надаються місця у загальноосвітніх та дошкільних навчальних закладах і дитячих оздоровчих таборах незалежно від форм власності.</w:t>
                  </w:r>
                </w:p>
              </w:tc>
            </w:tr>
            <w:tr w:rsidR="00BB6BDA" w:rsidRPr="00BB6BDA" w:rsidTr="00BB6BDA">
              <w:trPr>
                <w:tblCellSpacing w:w="0" w:type="dxa"/>
              </w:trPr>
              <w:tc>
                <w:tcPr>
                  <w:tcW w:w="3088" w:type="dxa"/>
                  <w:vMerge/>
                  <w:tcBorders>
                    <w:top w:val="outset" w:sz="6" w:space="0" w:color="auto"/>
                    <w:left w:val="outset" w:sz="6" w:space="0" w:color="auto"/>
                    <w:bottom w:val="outset" w:sz="6" w:space="0" w:color="auto"/>
                    <w:right w:val="outset" w:sz="6" w:space="0" w:color="auto"/>
                  </w:tcBorders>
                  <w:vAlign w:val="center"/>
                  <w:hideMark/>
                </w:tcPr>
                <w:p w:rsidR="00BB6BDA" w:rsidRPr="00402F4F" w:rsidRDefault="00BB6BDA" w:rsidP="00BB6BDA">
                  <w:pPr>
                    <w:spacing w:after="0" w:line="240" w:lineRule="auto"/>
                    <w:rPr>
                      <w:rFonts w:ascii="Comic Sans MS" w:eastAsia="Times New Roman" w:hAnsi="Comic Sans MS" w:cs="Times New Roman"/>
                      <w:color w:val="2F5496" w:themeColor="accent5" w:themeShade="BF"/>
                      <w:sz w:val="24"/>
                      <w:szCs w:val="24"/>
                      <w:lang w:eastAsia="uk-UA"/>
                    </w:rPr>
                  </w:pP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b/>
                      <w:bCs/>
                      <w:color w:val="303030"/>
                      <w:sz w:val="24"/>
                      <w:szCs w:val="24"/>
                      <w:lang w:eastAsia="uk-UA"/>
                    </w:rPr>
                    <w:t>Закон України "Про Державну службу спеціального зв'язку та захисту інформації України"</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Стаття 18. Правове становище та правовий захист особового складу Державної служби спеціального зв’язку та захисту інформації України</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1. Соціальний та правовий захист військовослужбовців Державної служби спеціального зв’язку та захисту інформації України та членів їхніх сімей здійснюється відповідно до Закону України "Про соціальний і правовий захист військовослужбовців та членів їх сімей" та інших законів.</w:t>
                  </w:r>
                </w:p>
              </w:tc>
            </w:tr>
            <w:tr w:rsidR="00BB6BDA" w:rsidRPr="00BB6BDA" w:rsidTr="00BB6BDA">
              <w:trPr>
                <w:tblCellSpacing w:w="0" w:type="dxa"/>
              </w:trPr>
              <w:tc>
                <w:tcPr>
                  <w:tcW w:w="3088" w:type="dxa"/>
                  <w:vMerge/>
                  <w:tcBorders>
                    <w:top w:val="outset" w:sz="6" w:space="0" w:color="auto"/>
                    <w:left w:val="outset" w:sz="6" w:space="0" w:color="auto"/>
                    <w:bottom w:val="outset" w:sz="6" w:space="0" w:color="auto"/>
                    <w:right w:val="outset" w:sz="6" w:space="0" w:color="auto"/>
                  </w:tcBorders>
                  <w:vAlign w:val="center"/>
                  <w:hideMark/>
                </w:tcPr>
                <w:p w:rsidR="00BB6BDA" w:rsidRPr="00402F4F" w:rsidRDefault="00BB6BDA" w:rsidP="00BB6BDA">
                  <w:pPr>
                    <w:spacing w:after="0" w:line="240" w:lineRule="auto"/>
                    <w:rPr>
                      <w:rFonts w:ascii="Comic Sans MS" w:eastAsia="Times New Roman" w:hAnsi="Comic Sans MS" w:cs="Times New Roman"/>
                      <w:color w:val="2F5496" w:themeColor="accent5" w:themeShade="BF"/>
                      <w:sz w:val="24"/>
                      <w:szCs w:val="24"/>
                      <w:lang w:eastAsia="uk-UA"/>
                    </w:rPr>
                  </w:pP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b/>
                      <w:bCs/>
                      <w:color w:val="303030"/>
                      <w:sz w:val="24"/>
                      <w:szCs w:val="24"/>
                      <w:lang w:eastAsia="uk-UA"/>
                    </w:rPr>
                    <w:t>Закон України "Про прокуратуру"</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Стаття 49. Матеріальне і соціальне забезпечення працівників прокуратури</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На військовослужбовців військових прокуратур поширюються усі передбачені Законом України "Про соціальний і правовий захист військовослужбовців та членів їх сімей" та іншим законодавством про військову службу соціальні і правові гарантії. </w:t>
                  </w:r>
                </w:p>
              </w:tc>
            </w:tr>
            <w:tr w:rsidR="00BB6BDA" w:rsidRPr="00BB6BDA" w:rsidTr="00BB6BDA">
              <w:trPr>
                <w:tblCellSpacing w:w="0" w:type="dxa"/>
              </w:trPr>
              <w:tc>
                <w:tcPr>
                  <w:tcW w:w="3088" w:type="dxa"/>
                  <w:vMerge/>
                  <w:tcBorders>
                    <w:top w:val="outset" w:sz="6" w:space="0" w:color="auto"/>
                    <w:left w:val="outset" w:sz="6" w:space="0" w:color="auto"/>
                    <w:bottom w:val="outset" w:sz="6" w:space="0" w:color="auto"/>
                    <w:right w:val="outset" w:sz="6" w:space="0" w:color="auto"/>
                  </w:tcBorders>
                  <w:vAlign w:val="center"/>
                  <w:hideMark/>
                </w:tcPr>
                <w:p w:rsidR="00BB6BDA" w:rsidRPr="00402F4F" w:rsidRDefault="00BB6BDA" w:rsidP="00BB6BDA">
                  <w:pPr>
                    <w:spacing w:after="0" w:line="240" w:lineRule="auto"/>
                    <w:rPr>
                      <w:rFonts w:ascii="Comic Sans MS" w:eastAsia="Times New Roman" w:hAnsi="Comic Sans MS" w:cs="Times New Roman"/>
                      <w:color w:val="2F5496" w:themeColor="accent5" w:themeShade="BF"/>
                      <w:sz w:val="24"/>
                      <w:szCs w:val="24"/>
                      <w:lang w:eastAsia="uk-UA"/>
                    </w:rPr>
                  </w:pP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b/>
                      <w:bCs/>
                      <w:color w:val="303030"/>
                      <w:sz w:val="24"/>
                      <w:szCs w:val="24"/>
                      <w:lang w:eastAsia="uk-UA"/>
                    </w:rPr>
                    <w:t>Закон України "Про Службу безпеки України"</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Стаття 27. Соціальний і правовий захист військовослужбовців і працівників Служби безпеки України</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Військовослужбовці Служби безпеки України користуються політичними, соціально-</w:t>
                  </w:r>
                  <w:r w:rsidRPr="00BB6BDA">
                    <w:rPr>
                      <w:rFonts w:ascii="Comic Sans MS" w:eastAsia="Times New Roman" w:hAnsi="Comic Sans MS" w:cs="Times New Roman"/>
                      <w:color w:val="303030"/>
                      <w:sz w:val="24"/>
                      <w:szCs w:val="24"/>
                      <w:lang w:eastAsia="uk-UA"/>
                    </w:rPr>
                    <w:lastRenderedPageBreak/>
                    <w:t>економічними та особистими правами і свободами, а також пільгами відповідно до Закону України "Про соціальний і правовий захист військовослужбовців та членів їх сімей", цього Закону, інших актів законодавства.</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Право на пільги зберігається за військовослужбовцями Служби безпеки України, яких звільнено зі служби за віком, через хворобу або за вислугою років.</w:t>
                  </w:r>
                </w:p>
              </w:tc>
            </w:tr>
            <w:tr w:rsidR="00BB6BDA" w:rsidRPr="00BB6BDA" w:rsidTr="00BB6BDA">
              <w:trPr>
                <w:tblCellSpacing w:w="0" w:type="dxa"/>
              </w:trPr>
              <w:tc>
                <w:tcPr>
                  <w:tcW w:w="3088" w:type="dxa"/>
                  <w:tcBorders>
                    <w:top w:val="outset" w:sz="6" w:space="0" w:color="auto"/>
                    <w:left w:val="outset" w:sz="6" w:space="0" w:color="auto"/>
                    <w:bottom w:val="outset" w:sz="6" w:space="0" w:color="auto"/>
                    <w:right w:val="outset" w:sz="6" w:space="0" w:color="auto"/>
                  </w:tcBorders>
                  <w:hideMark/>
                </w:tcPr>
                <w:p w:rsidR="00BB6BDA" w:rsidRPr="00402F4F" w:rsidRDefault="00BB6BDA" w:rsidP="00BB6BDA">
                  <w:pPr>
                    <w:spacing w:before="120" w:after="120" w:line="314" w:lineRule="atLeast"/>
                    <w:outlineLvl w:val="4"/>
                    <w:rPr>
                      <w:rFonts w:ascii="Comic Sans MS" w:eastAsia="Times New Roman" w:hAnsi="Comic Sans MS" w:cs="Times New Roman"/>
                      <w:b/>
                      <w:bCs/>
                      <w:color w:val="2F5496" w:themeColor="accent5" w:themeShade="BF"/>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lastRenderedPageBreak/>
                    <w:t>Діти киян - учасників АТО</w:t>
                  </w: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b/>
                      <w:bCs/>
                      <w:color w:val="303030"/>
                      <w:sz w:val="24"/>
                      <w:szCs w:val="24"/>
                      <w:lang w:eastAsia="uk-UA"/>
                    </w:rPr>
                    <w:t>Рішення Київської міської ради від 09 жовтня 2014 року №271/271 "Про надання додаткових гарантій учасникам антитерористичної операції та членам їх сімей"</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xml:space="preserve">6. Встановити, що кияни - учасники антитерористичної операції та члени сімей загиблих (померлих) киян, які брали участь в проведенні антитерористичної операції, мають </w:t>
                  </w:r>
                  <w:r w:rsidRPr="00BB6BDA">
                    <w:rPr>
                      <w:rFonts w:ascii="Comic Sans MS" w:eastAsia="Times New Roman" w:hAnsi="Comic Sans MS" w:cs="Times New Roman"/>
                      <w:b/>
                      <w:color w:val="303030"/>
                      <w:sz w:val="24"/>
                      <w:szCs w:val="24"/>
                      <w:lang w:eastAsia="uk-UA"/>
                    </w:rPr>
                    <w:t>право на першочергове влаштування дітей до дошкільних навчальних закладів комунальної власності </w:t>
                  </w:r>
                  <w:r w:rsidRPr="00BB6BDA">
                    <w:rPr>
                      <w:rFonts w:ascii="Comic Sans MS" w:eastAsia="Times New Roman" w:hAnsi="Comic Sans MS" w:cs="Times New Roman"/>
                      <w:color w:val="303030"/>
                      <w:sz w:val="24"/>
                      <w:szCs w:val="24"/>
                      <w:lang w:eastAsia="uk-UA"/>
                    </w:rPr>
                    <w:t xml:space="preserve">територіальної громади міста Києва на підставі заяви одного з батьків або осіб, які їх замінюють, до якої додається: - копія довідки, виданої за формою, визначеною Порядком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затвердженим постановою Кабінету Міністрів України від 20 серпня 2014 року №413, а для осіб, які перебувають в зоні проведення антитерористичної операції, - документи про безпосереднє залучення до виконання завдань антитерористичної операції в районах її проведення, направлення (прибуття) у відрядження до районів проведення антитерористичної операції, їх перебування в таких районах з метою виконання завдань із захисту незалежності, суверенітету та територіальної цілісності України шляхом безпосередньої участі в антитерористичній операції, забезпеченні її проведення (витяги з наказів, директив, розпоряджень, посвідчень про відрядження, оперативних завдань, журналів бойових дій, бойових донесень, дислокацій, книг нарядів, графіків несення служби, звітів, зведень, донесень, матеріалів спеціальних (службових) </w:t>
                  </w:r>
                  <w:r w:rsidRPr="00BB6BDA">
                    <w:rPr>
                      <w:rFonts w:ascii="Comic Sans MS" w:eastAsia="Times New Roman" w:hAnsi="Comic Sans MS" w:cs="Times New Roman"/>
                      <w:color w:val="303030"/>
                      <w:sz w:val="24"/>
                      <w:szCs w:val="24"/>
                      <w:lang w:eastAsia="uk-UA"/>
                    </w:rPr>
                    <w:lastRenderedPageBreak/>
                    <w:t>розслідувань за фактами отримання поранень, а також інші офіційні документи, видані державними органами, що містять достатні докази про безпосередню участь особи у виконанні завдань антитерористичної операції у районах її проведення).</w:t>
                  </w:r>
                </w:p>
              </w:tc>
            </w:tr>
            <w:tr w:rsidR="00BB6BDA" w:rsidRPr="00BB6BDA" w:rsidTr="00BB6BDA">
              <w:trPr>
                <w:tblCellSpacing w:w="0" w:type="dxa"/>
              </w:trPr>
              <w:tc>
                <w:tcPr>
                  <w:tcW w:w="3088"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120" w:after="120" w:line="314" w:lineRule="atLeast"/>
                    <w:outlineLvl w:val="4"/>
                    <w:rPr>
                      <w:rFonts w:ascii="Comic Sans MS" w:eastAsia="Times New Roman" w:hAnsi="Comic Sans MS" w:cs="Times New Roman"/>
                      <w:b/>
                      <w:bCs/>
                      <w:color w:val="1E9CDB"/>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lastRenderedPageBreak/>
                    <w:t>Діти з особливими освітніми потребами</w:t>
                  </w: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b/>
                      <w:bCs/>
                      <w:color w:val="303030"/>
                      <w:sz w:val="24"/>
                      <w:szCs w:val="24"/>
                      <w:lang w:eastAsia="uk-UA"/>
                    </w:rPr>
                    <w:t>Закон України «Про внесення змін до деяких законів України щодо доступу осіб з особливими освітніми потребами до освітніх послуг»</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від 06.09.2018 № 2541-VIII</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xml:space="preserve"> Стаття 18. Діти з особливими освітніми потребами, що зумовлені порушеннями інтелектуального розвитку та/або сенсорними та фізичними порушеннями, мають право на </w:t>
                  </w:r>
                  <w:r w:rsidRPr="00BB6BDA">
                    <w:rPr>
                      <w:rFonts w:ascii="Comic Sans MS" w:eastAsia="Times New Roman" w:hAnsi="Comic Sans MS" w:cs="Times New Roman"/>
                      <w:b/>
                      <w:color w:val="303030"/>
                      <w:sz w:val="24"/>
                      <w:szCs w:val="24"/>
                      <w:lang w:eastAsia="uk-UA"/>
                    </w:rPr>
                    <w:t>першочергове зарахування до закладів дошкільної освіти.</w:t>
                  </w:r>
                </w:p>
              </w:tc>
            </w:tr>
            <w:tr w:rsidR="00BB6BDA" w:rsidRPr="00BB6BDA" w:rsidTr="00BB6BDA">
              <w:trPr>
                <w:tblCellSpacing w:w="0" w:type="dxa"/>
              </w:trPr>
              <w:tc>
                <w:tcPr>
                  <w:tcW w:w="3088" w:type="dxa"/>
                  <w:tcBorders>
                    <w:top w:val="outset" w:sz="6" w:space="0" w:color="auto"/>
                    <w:left w:val="outset" w:sz="6" w:space="0" w:color="auto"/>
                    <w:bottom w:val="outset" w:sz="6" w:space="0" w:color="auto"/>
                    <w:right w:val="outset" w:sz="6" w:space="0" w:color="auto"/>
                  </w:tcBorders>
                  <w:hideMark/>
                </w:tcPr>
                <w:p w:rsidR="00BB6BDA" w:rsidRPr="00402F4F" w:rsidRDefault="00BB6BDA" w:rsidP="00BB6BDA">
                  <w:pPr>
                    <w:spacing w:before="120" w:after="120" w:line="314" w:lineRule="atLeast"/>
                    <w:outlineLvl w:val="4"/>
                    <w:rPr>
                      <w:rFonts w:ascii="Comic Sans MS" w:eastAsia="Times New Roman" w:hAnsi="Comic Sans MS" w:cs="Times New Roman"/>
                      <w:b/>
                      <w:bCs/>
                      <w:color w:val="2F5496" w:themeColor="accent5" w:themeShade="BF"/>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t>Діти, які є рідними (усиновленими) братами та/або сестрами дітей, які здобувають дошкільну освіту в обраному батьками комунальному закладі дошкільної освіти</w:t>
                  </w:r>
                </w:p>
                <w:p w:rsidR="00BB6BDA" w:rsidRPr="00402F4F" w:rsidRDefault="00BB6BDA" w:rsidP="00BB6BDA">
                  <w:pPr>
                    <w:spacing w:before="120" w:after="120" w:line="314" w:lineRule="atLeast"/>
                    <w:outlineLvl w:val="4"/>
                    <w:rPr>
                      <w:rFonts w:ascii="Comic Sans MS" w:eastAsia="Times New Roman" w:hAnsi="Comic Sans MS" w:cs="Times New Roman"/>
                      <w:b/>
                      <w:bCs/>
                      <w:color w:val="2F5496" w:themeColor="accent5" w:themeShade="BF"/>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t> </w:t>
                  </w:r>
                </w:p>
                <w:p w:rsidR="00BB6BDA" w:rsidRPr="00402F4F" w:rsidRDefault="00BB6BDA" w:rsidP="00BB6BDA">
                  <w:pPr>
                    <w:spacing w:before="120" w:after="120" w:line="314" w:lineRule="atLeast"/>
                    <w:outlineLvl w:val="4"/>
                    <w:rPr>
                      <w:rFonts w:ascii="Comic Sans MS" w:eastAsia="Times New Roman" w:hAnsi="Comic Sans MS" w:cs="Times New Roman"/>
                      <w:b/>
                      <w:bCs/>
                      <w:color w:val="2F5496" w:themeColor="accent5" w:themeShade="BF"/>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t>Діти, батьки яких є працівниками обраного закладу дошкільної освіти</w:t>
                  </w: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w:t>
                  </w:r>
                  <w:r w:rsidRPr="00BB6BDA">
                    <w:rPr>
                      <w:rFonts w:ascii="Comic Sans MS" w:eastAsia="Times New Roman" w:hAnsi="Comic Sans MS" w:cs="Times New Roman"/>
                      <w:b/>
                      <w:bCs/>
                      <w:color w:val="303030"/>
                      <w:sz w:val="24"/>
                      <w:szCs w:val="24"/>
                      <w:lang w:eastAsia="uk-UA"/>
                    </w:rPr>
                    <w:t>Рішення Київської міської ради «Про деякі питання організації зарахування дітей до комунальних закладів дошкільної освіти міста Києва»</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від 09.10.2018 № 1741/5805</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xml:space="preserve"> Пункт 1. Встановлено, що </w:t>
                  </w:r>
                  <w:r w:rsidRPr="00BB6BDA">
                    <w:rPr>
                      <w:rFonts w:ascii="Comic Sans MS" w:eastAsia="Times New Roman" w:hAnsi="Comic Sans MS" w:cs="Times New Roman"/>
                      <w:b/>
                      <w:color w:val="303030"/>
                      <w:sz w:val="24"/>
                      <w:szCs w:val="24"/>
                      <w:lang w:eastAsia="uk-UA"/>
                    </w:rPr>
                    <w:t>діти, які є рідними (усиновленими) братами та/або сестрами дітей, які здобувають дошкільну освіту в обраному батьками комунальному закладі</w:t>
                  </w:r>
                  <w:r w:rsidRPr="00BB6BDA">
                    <w:rPr>
                      <w:rFonts w:ascii="Comic Sans MS" w:eastAsia="Times New Roman" w:hAnsi="Comic Sans MS" w:cs="Times New Roman"/>
                      <w:color w:val="303030"/>
                      <w:sz w:val="24"/>
                      <w:szCs w:val="24"/>
                      <w:lang w:eastAsia="uk-UA"/>
                    </w:rPr>
                    <w:t xml:space="preserve"> дошкільної освіти, та діти, </w:t>
                  </w:r>
                  <w:r w:rsidRPr="00BB6BDA">
                    <w:rPr>
                      <w:rFonts w:ascii="Comic Sans MS" w:eastAsia="Times New Roman" w:hAnsi="Comic Sans MS" w:cs="Times New Roman"/>
                      <w:b/>
                      <w:color w:val="303030"/>
                      <w:sz w:val="24"/>
                      <w:szCs w:val="24"/>
                      <w:lang w:eastAsia="uk-UA"/>
                    </w:rPr>
                    <w:t>батьки яких є працівниками обраного закладу дошкільної освіти, зараховуються до цього закладу першочергово.</w:t>
                  </w:r>
                </w:p>
              </w:tc>
            </w:tr>
            <w:tr w:rsidR="00BB6BDA" w:rsidRPr="00BB6BDA" w:rsidTr="00BB6BDA">
              <w:trPr>
                <w:tblCellSpacing w:w="0" w:type="dxa"/>
              </w:trPr>
              <w:tc>
                <w:tcPr>
                  <w:tcW w:w="3088" w:type="dxa"/>
                  <w:tcBorders>
                    <w:top w:val="outset" w:sz="6" w:space="0" w:color="auto"/>
                    <w:left w:val="outset" w:sz="6" w:space="0" w:color="auto"/>
                    <w:bottom w:val="outset" w:sz="6" w:space="0" w:color="auto"/>
                    <w:right w:val="outset" w:sz="6" w:space="0" w:color="auto"/>
                  </w:tcBorders>
                  <w:hideMark/>
                </w:tcPr>
                <w:p w:rsidR="00BB6BDA" w:rsidRPr="00402F4F" w:rsidRDefault="00BB6BDA" w:rsidP="00BB6BDA">
                  <w:pPr>
                    <w:spacing w:before="120" w:after="120" w:line="314" w:lineRule="atLeast"/>
                    <w:outlineLvl w:val="4"/>
                    <w:rPr>
                      <w:rFonts w:ascii="Comic Sans MS" w:eastAsia="Times New Roman" w:hAnsi="Comic Sans MS" w:cs="Times New Roman"/>
                      <w:b/>
                      <w:bCs/>
                      <w:color w:val="2F5496" w:themeColor="accent5" w:themeShade="BF"/>
                      <w:sz w:val="24"/>
                      <w:szCs w:val="24"/>
                      <w:lang w:eastAsia="uk-UA"/>
                    </w:rPr>
                  </w:pPr>
                  <w:r w:rsidRPr="00402F4F">
                    <w:rPr>
                      <w:rFonts w:ascii="Comic Sans MS" w:eastAsia="Times New Roman" w:hAnsi="Comic Sans MS" w:cs="Times New Roman"/>
                      <w:b/>
                      <w:bCs/>
                      <w:color w:val="2F5496" w:themeColor="accent5" w:themeShade="BF"/>
                      <w:sz w:val="24"/>
                      <w:szCs w:val="24"/>
                      <w:lang w:eastAsia="uk-UA"/>
                    </w:rPr>
                    <w:t>Діти працівників дипломатичної служби</w:t>
                  </w:r>
                </w:p>
              </w:tc>
              <w:tc>
                <w:tcPr>
                  <w:tcW w:w="2466"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b/>
                      <w:bCs/>
                      <w:color w:val="303030"/>
                      <w:sz w:val="24"/>
                      <w:szCs w:val="24"/>
                      <w:lang w:eastAsia="uk-UA"/>
                    </w:rPr>
                    <w:t>Закон України «Про дипломатичну службу»</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від 07.06.2018 2449-VIII</w:t>
                  </w:r>
                </w:p>
              </w:tc>
              <w:tc>
                <w:tcPr>
                  <w:tcW w:w="5495" w:type="dxa"/>
                  <w:tcBorders>
                    <w:top w:val="outset" w:sz="6" w:space="0" w:color="auto"/>
                    <w:left w:val="outset" w:sz="6" w:space="0" w:color="auto"/>
                    <w:bottom w:val="outset" w:sz="6" w:space="0" w:color="auto"/>
                    <w:right w:val="outset" w:sz="6" w:space="0" w:color="auto"/>
                  </w:tcBorders>
                  <w:hideMark/>
                </w:tcPr>
                <w:p w:rsidR="00BB6BDA" w:rsidRPr="00BB6BDA" w:rsidRDefault="00BB6BDA" w:rsidP="00BB6BDA">
                  <w:pPr>
                    <w:spacing w:after="0" w:line="240" w:lineRule="atLeast"/>
                    <w:rPr>
                      <w:rFonts w:ascii="Comic Sans MS" w:eastAsia="Times New Roman" w:hAnsi="Comic Sans MS" w:cs="Times New Roman"/>
                      <w:color w:val="303030"/>
                      <w:sz w:val="24"/>
                      <w:szCs w:val="24"/>
                      <w:lang w:eastAsia="uk-UA"/>
                    </w:rPr>
                  </w:pPr>
                  <w:r w:rsidRPr="00BB6BDA">
                    <w:rPr>
                      <w:rFonts w:ascii="Comic Sans MS" w:eastAsia="Times New Roman" w:hAnsi="Comic Sans MS" w:cs="Times New Roman"/>
                      <w:color w:val="303030"/>
                      <w:sz w:val="24"/>
                      <w:szCs w:val="24"/>
                      <w:lang w:eastAsia="uk-UA"/>
                    </w:rPr>
                    <w:t> Стаття 34 п. 3</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402F4F">
                    <w:rPr>
                      <w:rFonts w:ascii="Comic Sans MS" w:eastAsia="Times New Roman" w:hAnsi="Comic Sans MS" w:cs="Times New Roman"/>
                      <w:b/>
                      <w:color w:val="303030"/>
                      <w:sz w:val="24"/>
                      <w:szCs w:val="24"/>
                      <w:lang w:eastAsia="uk-UA"/>
                    </w:rPr>
                    <w:t>Дітям працівника дипломатичної служби</w:t>
                  </w:r>
                  <w:r w:rsidRPr="00BB6BDA">
                    <w:rPr>
                      <w:rFonts w:ascii="Comic Sans MS" w:eastAsia="Times New Roman" w:hAnsi="Comic Sans MS" w:cs="Times New Roman"/>
                      <w:color w:val="303030"/>
                      <w:sz w:val="24"/>
                      <w:szCs w:val="24"/>
                      <w:lang w:eastAsia="uk-UA"/>
                    </w:rPr>
                    <w:t xml:space="preserve"> (або іншого з подружжя), який перебуває у довготерміновому відрядженні або повернувся з нього, </w:t>
                  </w:r>
                  <w:r w:rsidRPr="00402F4F">
                    <w:rPr>
                      <w:rFonts w:ascii="Comic Sans MS" w:eastAsia="Times New Roman" w:hAnsi="Comic Sans MS" w:cs="Times New Roman"/>
                      <w:b/>
                      <w:color w:val="303030"/>
                      <w:sz w:val="24"/>
                      <w:szCs w:val="24"/>
                      <w:lang w:eastAsia="uk-UA"/>
                    </w:rPr>
                    <w:t>у першочерговому порядку</w:t>
                  </w:r>
                  <w:r w:rsidRPr="00BB6BDA">
                    <w:rPr>
                      <w:rFonts w:ascii="Comic Sans MS" w:eastAsia="Times New Roman" w:hAnsi="Comic Sans MS" w:cs="Times New Roman"/>
                      <w:color w:val="303030"/>
                      <w:sz w:val="24"/>
                      <w:szCs w:val="24"/>
                      <w:lang w:eastAsia="uk-UA"/>
                    </w:rPr>
                    <w:t xml:space="preserve"> надаються місця у закладах дошкільної та загальної середньої освіти.</w:t>
                  </w:r>
                </w:p>
              </w:tc>
            </w:tr>
          </w:tbl>
          <w:p w:rsidR="00315016" w:rsidRDefault="00315016" w:rsidP="00BB6BDA">
            <w:pPr>
              <w:spacing w:before="240" w:after="0" w:line="240" w:lineRule="atLeast"/>
              <w:rPr>
                <w:rFonts w:ascii="Comic Sans MS" w:eastAsia="Times New Roman" w:hAnsi="Comic Sans MS" w:cs="Times New Roman"/>
                <w:color w:val="303030"/>
                <w:sz w:val="24"/>
                <w:szCs w:val="24"/>
                <w:lang w:eastAsia="uk-UA"/>
              </w:rPr>
            </w:pPr>
          </w:p>
          <w:p w:rsidR="00315016" w:rsidRDefault="00315016" w:rsidP="00BB6BDA">
            <w:pPr>
              <w:spacing w:before="240" w:after="0" w:line="240" w:lineRule="atLeast"/>
              <w:rPr>
                <w:rFonts w:ascii="Comic Sans MS" w:eastAsia="Times New Roman" w:hAnsi="Comic Sans MS" w:cs="Times New Roman"/>
                <w:color w:val="303030"/>
                <w:sz w:val="24"/>
                <w:szCs w:val="24"/>
                <w:lang w:eastAsia="uk-UA"/>
              </w:rPr>
            </w:pPr>
          </w:p>
          <w:p w:rsidR="00E40675" w:rsidRDefault="00E40675" w:rsidP="00BB6BDA">
            <w:pPr>
              <w:spacing w:before="240" w:after="0" w:line="240" w:lineRule="atLeast"/>
              <w:rPr>
                <w:rFonts w:ascii="Comic Sans MS" w:eastAsia="Times New Roman" w:hAnsi="Comic Sans MS" w:cs="Times New Roman"/>
                <w:color w:val="303030"/>
                <w:sz w:val="24"/>
                <w:szCs w:val="24"/>
                <w:lang w:eastAsia="uk-UA"/>
              </w:rPr>
            </w:pPr>
          </w:p>
          <w:p w:rsidR="00BB6BDA" w:rsidRPr="00BB6BDA" w:rsidRDefault="00BB6BDA" w:rsidP="00BB6BDA">
            <w:pPr>
              <w:spacing w:before="240" w:after="0" w:line="240" w:lineRule="atLeast"/>
              <w:rPr>
                <w:rFonts w:ascii="Comic Sans MS" w:eastAsia="Times New Roman" w:hAnsi="Comic Sans MS" w:cs="Times New Roman"/>
                <w:b/>
                <w:bCs/>
                <w:color w:val="303030"/>
                <w:sz w:val="24"/>
                <w:szCs w:val="24"/>
                <w:lang w:eastAsia="uk-UA"/>
              </w:rPr>
            </w:pPr>
            <w:r w:rsidRPr="00E40675">
              <w:rPr>
                <w:rFonts w:ascii="Comic Sans MS" w:eastAsia="Times New Roman" w:hAnsi="Comic Sans MS" w:cs="Times New Roman"/>
                <w:color w:val="303030"/>
                <w:sz w:val="24"/>
                <w:szCs w:val="24"/>
                <w:highlight w:val="yellow"/>
                <w:lang w:eastAsia="uk-UA"/>
              </w:rPr>
              <w:lastRenderedPageBreak/>
              <w:t>Закон України </w:t>
            </w:r>
            <w:r w:rsidRPr="00E40675">
              <w:rPr>
                <w:rFonts w:ascii="Comic Sans MS" w:eastAsia="Times New Roman" w:hAnsi="Comic Sans MS" w:cs="Times New Roman"/>
                <w:b/>
                <w:bCs/>
                <w:color w:val="303030"/>
                <w:sz w:val="24"/>
                <w:szCs w:val="24"/>
                <w:highlight w:val="yellow"/>
                <w:lang w:eastAsia="uk-UA"/>
              </w:rPr>
              <w:t>«Про забезпечення прав і свобод внутрішньо переміщених осіб»</w:t>
            </w:r>
            <w:r w:rsidRPr="00E40675">
              <w:rPr>
                <w:rFonts w:ascii="Comic Sans MS" w:eastAsia="Times New Roman" w:hAnsi="Comic Sans MS" w:cs="Times New Roman"/>
                <w:color w:val="303030"/>
                <w:sz w:val="24"/>
                <w:szCs w:val="24"/>
                <w:highlight w:val="yellow"/>
                <w:lang w:eastAsia="uk-UA"/>
              </w:rPr>
              <w:t> (ст.9) визначає, що внутрішньо переміщена особа має право на влаштування дітей у дошкільні та загальноосвітні навчальні заклади.</w:t>
            </w:r>
            <w:r w:rsidRPr="00BB6BDA">
              <w:rPr>
                <w:rFonts w:ascii="Comic Sans MS" w:eastAsia="Times New Roman" w:hAnsi="Comic Sans MS" w:cs="Times New Roman"/>
                <w:color w:val="303030"/>
                <w:sz w:val="24"/>
                <w:szCs w:val="24"/>
                <w:lang w:eastAsia="uk-UA"/>
              </w:rPr>
              <w:t> Листом Міністерства освіти і науки України від 12.06.2014 № 1/9-310 «Щодо прийому до дошкільних навчальних закладів дітей, які прибули з Донецької та Луганської областей на постійне або тимчасове проживання до інших населених пунктів України» рекомендується сприяти батькам дітей, які прибули з зазначених регіонів на постійне або тимчасове проживання до інших населених пунктів України, у вирішенні питань, пов'язаних із зарахуванням до дошкільних навчальних закладів без попередньої електронної реєстрації.</w:t>
            </w:r>
          </w:p>
          <w:p w:rsidR="00BB6BDA" w:rsidRPr="00BB6BDA" w:rsidRDefault="00BB6BDA" w:rsidP="00BB6BDA">
            <w:pPr>
              <w:spacing w:before="240" w:after="0" w:line="240" w:lineRule="atLeast"/>
              <w:rPr>
                <w:rFonts w:ascii="Comic Sans MS" w:eastAsia="Times New Roman" w:hAnsi="Comic Sans MS" w:cs="Times New Roman"/>
                <w:color w:val="303030"/>
                <w:sz w:val="24"/>
                <w:szCs w:val="24"/>
                <w:lang w:eastAsia="uk-UA"/>
              </w:rPr>
            </w:pPr>
            <w:r w:rsidRPr="00E40675">
              <w:rPr>
                <w:rFonts w:ascii="Comic Sans MS" w:eastAsia="Times New Roman" w:hAnsi="Comic Sans MS" w:cs="Times New Roman"/>
                <w:color w:val="303030"/>
                <w:sz w:val="24"/>
                <w:szCs w:val="24"/>
                <w:highlight w:val="yellow"/>
                <w:lang w:eastAsia="uk-UA"/>
              </w:rPr>
              <w:t>У місті </w:t>
            </w:r>
            <w:r w:rsidRPr="00E40675">
              <w:rPr>
                <w:rFonts w:ascii="Comic Sans MS" w:eastAsia="Times New Roman" w:hAnsi="Comic Sans MS" w:cs="Times New Roman"/>
                <w:b/>
                <w:bCs/>
                <w:color w:val="303030"/>
                <w:sz w:val="24"/>
                <w:szCs w:val="24"/>
                <w:highlight w:val="yellow"/>
                <w:lang w:eastAsia="uk-UA"/>
              </w:rPr>
              <w:t>Києві</w:t>
            </w:r>
            <w:r w:rsidRPr="00E40675">
              <w:rPr>
                <w:rFonts w:ascii="Comic Sans MS" w:eastAsia="Times New Roman" w:hAnsi="Comic Sans MS" w:cs="Times New Roman"/>
                <w:color w:val="303030"/>
                <w:sz w:val="24"/>
                <w:szCs w:val="24"/>
                <w:highlight w:val="yellow"/>
                <w:lang w:eastAsia="uk-UA"/>
              </w:rPr>
              <w:t> прийом дітей внутрішньо переміщених осіб (діти-переселенці з Автономної Республіки Крим та південно-східних регіонів України) відбувається наступним чином:</w:t>
            </w:r>
            <w:r w:rsidRPr="00BB6BDA">
              <w:rPr>
                <w:rFonts w:ascii="Comic Sans MS" w:eastAsia="Times New Roman" w:hAnsi="Comic Sans MS" w:cs="Times New Roman"/>
                <w:color w:val="303030"/>
                <w:sz w:val="24"/>
                <w:szCs w:val="24"/>
                <w:lang w:eastAsia="uk-UA"/>
              </w:rPr>
              <w:t xml:space="preserve"> після реєстрації в системі електронного запису до ЗДО батьки особисто підтверджують статус внутрішньо перемішених осіб в управлінні освіти районних в місті Києві державних адміністрацій міста Києва за місцем проживання та отримують направлення  у заклад дошкільної освіти на вакантні місця. Тому, Вам необхідно особисто з оригіналами відповідних документів звернутися до управління освіти районної в місті Києві державної адміністрації за місцем проживання для отримання направлення в заклад дошкільної освіти, де є вільні місця.</w:t>
            </w:r>
          </w:p>
        </w:tc>
        <w:bookmarkStart w:id="0" w:name="_GoBack"/>
        <w:bookmarkEnd w:id="0"/>
      </w:tr>
    </w:tbl>
    <w:p w:rsidR="00C5720E" w:rsidRPr="00BB6BDA" w:rsidRDefault="00C5720E">
      <w:pPr>
        <w:rPr>
          <w:sz w:val="24"/>
          <w:szCs w:val="24"/>
        </w:rPr>
      </w:pPr>
    </w:p>
    <w:sectPr w:rsidR="00C5720E" w:rsidRPr="00BB6BDA" w:rsidSect="00E40675">
      <w:pgSz w:w="11906" w:h="16838"/>
      <w:pgMar w:top="284"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1"/>
    <w:rsid w:val="00315016"/>
    <w:rsid w:val="00402F4F"/>
    <w:rsid w:val="00651A71"/>
    <w:rsid w:val="00BB6BDA"/>
    <w:rsid w:val="00C5720E"/>
    <w:rsid w:val="00E406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D6943-5CFC-476E-B48F-BD6FA1BE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0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7297">
      <w:bodyDiv w:val="1"/>
      <w:marLeft w:val="0"/>
      <w:marRight w:val="0"/>
      <w:marTop w:val="0"/>
      <w:marBottom w:val="0"/>
      <w:divBdr>
        <w:top w:val="none" w:sz="0" w:space="0" w:color="auto"/>
        <w:left w:val="none" w:sz="0" w:space="0" w:color="auto"/>
        <w:bottom w:val="none" w:sz="0" w:space="0" w:color="auto"/>
        <w:right w:val="none" w:sz="0" w:space="0" w:color="auto"/>
      </w:divBdr>
      <w:divsChild>
        <w:div w:id="2119717631">
          <w:marLeft w:val="0"/>
          <w:marRight w:val="0"/>
          <w:marTop w:val="0"/>
          <w:marBottom w:val="0"/>
          <w:divBdr>
            <w:top w:val="none" w:sz="0" w:space="0" w:color="auto"/>
            <w:left w:val="none" w:sz="0" w:space="0" w:color="auto"/>
            <w:bottom w:val="dotted" w:sz="6" w:space="12" w:color="DDDDDD"/>
            <w:right w:val="none" w:sz="0" w:space="0" w:color="auto"/>
          </w:divBdr>
        </w:div>
        <w:div w:id="35916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0.rada.gov.ua/laws/show/2011-12" TargetMode="External"/><Relationship Id="rId4" Type="http://schemas.openxmlformats.org/officeDocument/2006/relationships/hyperlink" Target="https://don.kyivcity.gov.ua/content/pilgovi-kategorii-pry-zarahuvan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5612</Words>
  <Characters>3199</Characters>
  <Application>Microsoft Office Word</Application>
  <DocSecurity>0</DocSecurity>
  <Lines>26</Lines>
  <Paragraphs>17</Paragraphs>
  <ScaleCrop>false</ScaleCrop>
  <Company>SPecialiST RePack</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2020-02-14T08:41:00Z</dcterms:created>
  <dcterms:modified xsi:type="dcterms:W3CDTF">2020-02-14T10:17:00Z</dcterms:modified>
</cp:coreProperties>
</file>